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26D7" w14:textId="77777777" w:rsidR="006F0D65" w:rsidRPr="00B60888" w:rsidRDefault="006F0D65" w:rsidP="007A7EA3">
      <w:pPr>
        <w:widowControl/>
        <w:tabs>
          <w:tab w:val="left" w:pos="8384"/>
          <w:tab w:val="left" w:pos="8951"/>
        </w:tabs>
        <w:ind w:left="113" w:right="-134"/>
        <w:rPr>
          <w:rFonts w:ascii="Arial Narrow" w:eastAsia="Arial Unicode MS" w:hAnsi="Arial Narrow" w:cstheme="minorHAnsi"/>
          <w:sz w:val="8"/>
          <w:lang w:val="es-ES_tradnl"/>
        </w:rPr>
      </w:pPr>
      <w:r w:rsidRPr="00B60888">
        <w:rPr>
          <w:rFonts w:asciiTheme="minorHAnsi" w:eastAsia="Arial Unicode MS" w:hAnsiTheme="minorHAnsi" w:cstheme="minorHAnsi"/>
          <w:b/>
          <w:sz w:val="12"/>
          <w:lang w:val="es-ES_tradnl"/>
        </w:rPr>
        <w:tab/>
      </w:r>
    </w:p>
    <w:tbl>
      <w:tblPr>
        <w:tblW w:w="9213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9213"/>
      </w:tblGrid>
      <w:tr w:rsidR="00CF42FC" w:rsidRPr="001758AB" w14:paraId="3C7B272C" w14:textId="77777777" w:rsidTr="007073CA">
        <w:trPr>
          <w:jc w:val="center"/>
        </w:trPr>
        <w:tc>
          <w:tcPr>
            <w:tcW w:w="9213" w:type="dxa"/>
            <w:shd w:val="clear" w:color="auto" w:fill="auto"/>
          </w:tcPr>
          <w:p w14:paraId="3C7B26F3" w14:textId="20E27BBB" w:rsidR="006F0D65" w:rsidRPr="00B60888" w:rsidRDefault="009D4DD2" w:rsidP="00B60888">
            <w:pPr>
              <w:spacing w:before="120" w:after="60"/>
              <w:ind w:left="595" w:hanging="595"/>
              <w:rPr>
                <w:rFonts w:asciiTheme="minorHAnsi" w:eastAsia="Arial Unicode MS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1</w:t>
            </w:r>
            <w:r w:rsidR="00372650"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.</w:t>
            </w:r>
            <w:r w:rsidR="006F0D65" w:rsidRPr="00B60888">
              <w:rPr>
                <w:rFonts w:asciiTheme="minorHAnsi" w:eastAsia="Arial Unicode MS" w:hAnsiTheme="minorHAnsi" w:cstheme="minorHAnsi"/>
                <w:sz w:val="18"/>
                <w:lang w:val="es-ES_tradnl"/>
              </w:rPr>
              <w:tab/>
            </w:r>
            <w:r w:rsidR="006F0D65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Análisis de las cuentas anuales</w:t>
            </w:r>
          </w:p>
          <w:p w14:paraId="3C7B26F5" w14:textId="3B7729DE" w:rsidR="006F0D65" w:rsidRPr="00B60888" w:rsidRDefault="006F0D65" w:rsidP="009D4DD2">
            <w:pPr>
              <w:shd w:val="clear" w:color="auto" w:fill="FFFFCC"/>
              <w:jc w:val="both"/>
              <w:rPr>
                <w:rFonts w:asciiTheme="minorHAnsi" w:hAnsiTheme="minorHAnsi" w:cstheme="minorHAnsi"/>
                <w:i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Información complementaria:</w:t>
            </w:r>
            <w:r w:rsidRPr="00B60888">
              <w:rPr>
                <w:sz w:val="18"/>
                <w:lang w:val="es-ES_tradnl"/>
              </w:rPr>
              <w:t xml:space="preserve"> </w:t>
            </w:r>
            <w:r w:rsidR="009D4DD2" w:rsidRPr="00B60888">
              <w:rPr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Ver </w:t>
            </w:r>
            <w:r w:rsidR="001A162E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GPF-OCEX-1315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Anexo 2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Análisis de las cuentas anuales </w:t>
            </w:r>
          </w:p>
          <w:p w14:paraId="3C7B26F7" w14:textId="77777777" w:rsidR="006F0D65" w:rsidRPr="00B60888" w:rsidRDefault="006F0D65" w:rsidP="00CB6E6B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begin"/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instrText xml:space="preserve"> DOCPROPERTY "TM_TAB1_LABEL"  \* MERGEFORMAT </w:instrTex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separate"/>
            </w:r>
            <w:r w:rsidRPr="00B60888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>Trabajo a realizar</w:t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fldChar w:fldCharType="end"/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:</w:t>
            </w:r>
          </w:p>
          <w:p w14:paraId="3C7B26F8" w14:textId="77777777" w:rsidR="006F0D65" w:rsidRPr="00B60888" w:rsidRDefault="006F0D65" w:rsidP="009D4DD2">
            <w:pPr>
              <w:widowControl/>
              <w:numPr>
                <w:ilvl w:val="0"/>
                <w:numId w:val="5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Identificar los epígrafes del balance, de la cuenta de resultados y/o del presupuesto sobre los que focalizar el esfuerzo de la auditoría.</w:t>
            </w:r>
          </w:p>
          <w:p w14:paraId="3C7B26F9" w14:textId="77777777" w:rsidR="006F0D65" w:rsidRPr="00B60888" w:rsidRDefault="006F0D65" w:rsidP="009D4DD2">
            <w:pPr>
              <w:widowControl/>
              <w:numPr>
                <w:ilvl w:val="0"/>
                <w:numId w:val="5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 w:eastAsia="es-ES"/>
              </w:rPr>
              <w:t xml:space="preserve">Hacer una </w:t>
            </w:r>
            <w:r w:rsidRPr="00B60888">
              <w:rPr>
                <w:rFonts w:asciiTheme="minorHAnsi" w:hAnsiTheme="minorHAnsi" w:cstheme="minorHAnsi"/>
                <w:b/>
                <w:sz w:val="18"/>
                <w:lang w:val="es-ES_tradnl" w:eastAsia="es-ES"/>
              </w:rPr>
              <w:t>revisión analítica</w:t>
            </w:r>
            <w:r w:rsidRPr="00B60888">
              <w:rPr>
                <w:rFonts w:asciiTheme="minorHAnsi" w:hAnsiTheme="minorHAnsi" w:cstheme="minorHAnsi"/>
                <w:sz w:val="18"/>
                <w:lang w:val="es-ES_tradnl" w:eastAsia="es-ES"/>
              </w:rPr>
              <w:t xml:space="preserve"> de las cuentas del ejercicio fiscalizado comparándolas con las del ejercicio anterior y analizar las desviaciones más significativas. Las desviaciones analizadas se referenciarán al trabajo efectuado en el área correspondiente.</w:t>
            </w:r>
          </w:p>
          <w:p w14:paraId="3C7B26FA" w14:textId="61A4DF3C" w:rsidR="006F0D65" w:rsidRPr="00B60888" w:rsidRDefault="006F0D65" w:rsidP="009D4DD2">
            <w:pPr>
              <w:widowControl/>
              <w:numPr>
                <w:ilvl w:val="0"/>
                <w:numId w:val="5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Identificar las transacciones y tipos de transacciones que tienen un efecto significativo sobre dichas cuentas, es decir, aquellas que generan los importes o saldos </w:t>
            </w:r>
            <w:r w:rsidR="00901CBE">
              <w:rPr>
                <w:rFonts w:asciiTheme="minorHAnsi" w:hAnsiTheme="minorHAnsi" w:cstheme="minorHAnsi"/>
                <w:sz w:val="18"/>
                <w:lang w:val="es-ES_tradnl"/>
              </w:rPr>
              <w:t xml:space="preserve">significativos 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que lucen en las mismas.</w:t>
            </w:r>
          </w:p>
          <w:p w14:paraId="3C7B26FB" w14:textId="77777777" w:rsidR="006F0D65" w:rsidRPr="00B60888" w:rsidRDefault="006F0D65" w:rsidP="009D4DD2">
            <w:pPr>
              <w:widowControl/>
              <w:numPr>
                <w:ilvl w:val="0"/>
                <w:numId w:val="5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Identificar los procesos de gestión significativas.</w:t>
            </w:r>
          </w:p>
          <w:p w14:paraId="3C7B26FC" w14:textId="375CAF26" w:rsidR="006F0D65" w:rsidRPr="00B60888" w:rsidRDefault="00005744" w:rsidP="00B60888">
            <w:pPr>
              <w:spacing w:before="120" w:after="60"/>
              <w:ind w:left="595" w:hanging="595"/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2</w:t>
            </w:r>
            <w:r w:rsidR="00372650"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.</w:t>
            </w:r>
            <w:r w:rsidR="006F0D65" w:rsidRPr="00B60888">
              <w:rPr>
                <w:rFonts w:asciiTheme="minorHAnsi" w:eastAsia="Arial Unicode MS" w:hAnsiTheme="minorHAnsi" w:cstheme="minorHAnsi"/>
                <w:sz w:val="18"/>
                <w:lang w:val="es-ES_tradnl"/>
              </w:rPr>
              <w:tab/>
            </w:r>
            <w:r w:rsidR="006F0D65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Discusión en el equipo de fiscalización de los riesgos de incorrección material (RIM</w:t>
            </w:r>
            <w:r w:rsidR="00B60888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)</w:t>
            </w:r>
          </w:p>
          <w:p w14:paraId="3C7B26FE" w14:textId="12CCD3BC" w:rsidR="006F0D65" w:rsidRPr="00B60888" w:rsidRDefault="006F0D65" w:rsidP="009D4DD2">
            <w:pPr>
              <w:shd w:val="clear" w:color="auto" w:fill="FFFFCC"/>
              <w:jc w:val="both"/>
              <w:rPr>
                <w:rFonts w:asciiTheme="minorHAnsi" w:hAnsiTheme="minorHAnsi" w:cstheme="minorHAnsi"/>
                <w:i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Información complementaria:</w:t>
            </w:r>
            <w:r w:rsidRPr="00B60888">
              <w:rPr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Ver </w:t>
            </w:r>
            <w:r w:rsidR="001A162E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GPF-OCEX-1315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</w:t>
            </w:r>
          </w:p>
          <w:p w14:paraId="3C7B26FF" w14:textId="77777777" w:rsidR="006F0D65" w:rsidRPr="00B60888" w:rsidRDefault="006F0D65" w:rsidP="005A6514">
            <w:pPr>
              <w:spacing w:before="60" w:after="60"/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begin"/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instrText xml:space="preserve"> DOCPROPERTY "TM_TAB1_LABEL"  \* MERGEFORMAT </w:instrTex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separate"/>
            </w:r>
            <w:r w:rsidRPr="00B60888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>Trabajo a realizar</w:t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fldChar w:fldCharType="end"/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:</w:t>
            </w:r>
          </w:p>
          <w:p w14:paraId="3C7B2700" w14:textId="4D519A20" w:rsidR="006F0D65" w:rsidRPr="00B60888" w:rsidRDefault="006F0D65" w:rsidP="009D4DD2">
            <w:pPr>
              <w:widowControl/>
              <w:numPr>
                <w:ilvl w:val="0"/>
                <w:numId w:val="7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Debe celebrarse una reunión del equipo de auditoría para discutir sobre los riesgos de auditoría previsibles y documentarla de acuerdo con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el anexo 3 de la GPF-OCEX </w:t>
            </w:r>
            <w:r w:rsidR="00193F67" w:rsidRPr="00B60888">
              <w:rPr>
                <w:rFonts w:asciiTheme="minorHAnsi" w:hAnsiTheme="minorHAnsi" w:cstheme="minorHAnsi"/>
                <w:sz w:val="18"/>
                <w:lang w:val="es-ES_tradnl"/>
              </w:rPr>
              <w:t>1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>315.</w:t>
            </w:r>
          </w:p>
          <w:p w14:paraId="3C7B2701" w14:textId="65337778" w:rsidR="006F0D65" w:rsidRPr="00B60888" w:rsidRDefault="00005744" w:rsidP="00B60888">
            <w:pPr>
              <w:spacing w:before="120" w:after="60"/>
              <w:ind w:left="595" w:hanging="595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3</w:t>
            </w:r>
            <w:r w:rsidR="00372650"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.</w:t>
            </w:r>
            <w:r w:rsidR="006F0D65" w:rsidRPr="00B60888">
              <w:rPr>
                <w:rFonts w:asciiTheme="minorHAnsi" w:eastAsia="Arial Unicode MS" w:hAnsiTheme="minorHAnsi" w:cstheme="minorHAnsi"/>
                <w:sz w:val="18"/>
                <w:lang w:val="es-ES_tradnl"/>
              </w:rPr>
              <w:tab/>
            </w:r>
            <w:r w:rsidR="006F0D65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Identificación y valoración de los RIM</w:t>
            </w:r>
          </w:p>
          <w:p w14:paraId="3C7B2703" w14:textId="448043D3" w:rsidR="006F0D65" w:rsidRPr="00B60888" w:rsidRDefault="006F0D65" w:rsidP="00005744">
            <w:pPr>
              <w:shd w:val="clear" w:color="auto" w:fill="FFFFCC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Información complementaria:</w:t>
            </w:r>
            <w:r w:rsidRPr="00B60888">
              <w:rPr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Ver </w:t>
            </w:r>
            <w:r w:rsidR="001A162E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GPF-OCEX-131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7 </w:t>
            </w:r>
          </w:p>
          <w:p w14:paraId="3C7B2704" w14:textId="77777777" w:rsidR="006F0D65" w:rsidRPr="00B60888" w:rsidRDefault="006F0D65" w:rsidP="005A6514">
            <w:pPr>
              <w:spacing w:before="60" w:after="60"/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begin"/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instrText xml:space="preserve"> DOCPROPERTY "TM_TAB1_LABEL"  \* MERGEFORMAT </w:instrTex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separate"/>
            </w:r>
            <w:r w:rsidRPr="00B60888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>Trabajo a realizar</w:t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fldChar w:fldCharType="end"/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:</w:t>
            </w:r>
          </w:p>
          <w:p w14:paraId="3C7B2705" w14:textId="60E4D05C" w:rsidR="006F0D65" w:rsidRPr="00B60888" w:rsidRDefault="006F0D65" w:rsidP="00005744">
            <w:pPr>
              <w:widowControl/>
              <w:numPr>
                <w:ilvl w:val="0"/>
                <w:numId w:val="8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bookmarkStart w:id="0" w:name="OLE_LINK2"/>
            <w:bookmarkStart w:id="1" w:name="OLE_LINK1"/>
            <w:bookmarkEnd w:id="0"/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Seguir los procedimientos descritos en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GPF-OCEX-1317 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y cumplimentar el formulario incluido en esa sección para documentar el trabajo. </w:t>
            </w:r>
          </w:p>
          <w:p w14:paraId="3C7B2706" w14:textId="4940CEF4" w:rsidR="006F0D65" w:rsidRPr="00B60888" w:rsidRDefault="00005744" w:rsidP="00B60888">
            <w:pPr>
              <w:spacing w:before="120" w:after="60"/>
              <w:ind w:left="595" w:hanging="595"/>
              <w:rPr>
                <w:rFonts w:asciiTheme="minorHAnsi" w:eastAsia="Arial Unicode MS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4</w:t>
            </w:r>
            <w:r w:rsidR="00372650"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.</w:t>
            </w:r>
            <w:r w:rsidR="006F0D65" w:rsidRPr="00B60888">
              <w:rPr>
                <w:rFonts w:asciiTheme="minorHAnsi" w:eastAsia="Arial Unicode MS" w:hAnsiTheme="minorHAnsi" w:cstheme="minorHAnsi"/>
                <w:sz w:val="18"/>
                <w:lang w:val="es-ES_tradnl"/>
              </w:rPr>
              <w:tab/>
            </w:r>
            <w:r w:rsidR="006F0D65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Revisión de los C</w:t>
            </w:r>
            <w:r w:rsidR="009D4DD2"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ontroles Generales de TI (CGTI)</w:t>
            </w:r>
            <w:r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 xml:space="preserve"> –Nivel básico</w:t>
            </w:r>
          </w:p>
          <w:p w14:paraId="3C7B2708" w14:textId="32684B98" w:rsidR="006F0D65" w:rsidRPr="00B60888" w:rsidRDefault="006F0D65" w:rsidP="00005744">
            <w:pPr>
              <w:shd w:val="clear" w:color="auto" w:fill="FFFFCC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Información complementaria:</w:t>
            </w:r>
            <w:r w:rsidRPr="00B60888">
              <w:rPr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Ver </w:t>
            </w:r>
            <w:r w:rsidR="001A162E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53</w:t>
            </w:r>
            <w:r w:rsidR="00B60888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30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Anexo 2</w:t>
            </w:r>
            <w:r w:rsidR="00193F67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Revisión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CGTI</w:t>
            </w:r>
            <w:r w:rsidR="00193F67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nivel</w:t>
            </w:r>
            <w:r w:rsidR="00193F67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básico</w:t>
            </w:r>
          </w:p>
          <w:p w14:paraId="3C7B2709" w14:textId="77777777" w:rsidR="006F0D65" w:rsidRPr="00B60888" w:rsidRDefault="006F0D65" w:rsidP="008A5B54">
            <w:pPr>
              <w:spacing w:before="60" w:after="60"/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begin"/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instrText xml:space="preserve"> DOCPROPERTY "TM_TAB1_LABEL"  \* MERGEFORMAT </w:instrTex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separate"/>
            </w:r>
            <w:r w:rsidRPr="00B60888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>Trabajo a realizar</w:t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fldChar w:fldCharType="end"/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:</w:t>
            </w:r>
          </w:p>
          <w:p w14:paraId="3C7B270A" w14:textId="7DD5AB7F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Mantener una reunión con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>el auditor de sistemas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 para abordar el análisis de los controles generales de la </w:t>
            </w:r>
            <w:r w:rsidR="004167C8" w:rsidRPr="00B60888">
              <w:rPr>
                <w:rFonts w:asciiTheme="minorHAnsi" w:hAnsiTheme="minorHAnsi" w:cstheme="minorHAnsi"/>
                <w:sz w:val="18"/>
                <w:lang w:val="es-ES_tradnl"/>
              </w:rPr>
              <w:t>e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ntidad y planificar, en su caso, su colaboración.</w:t>
            </w:r>
          </w:p>
          <w:p w14:paraId="3C7B270B" w14:textId="72BF09F1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Mediante escrito o correo electrónico, entregar el cuestionario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>básico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 al responsable del departamento de sistemas de información de la entidad auditada, con copia al coordinador, para que lo completen con la información solicitada y lo devuelvan firmado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en soporte informático</w:t>
            </w:r>
            <w:r w:rsidR="0045737D">
              <w:rPr>
                <w:rFonts w:asciiTheme="minorHAnsi" w:hAnsiTheme="minorHAnsi" w:cstheme="minorHAnsi"/>
                <w:sz w:val="18"/>
                <w:lang w:val="es-ES_tradnl"/>
              </w:rPr>
              <w:t xml:space="preserve"> mediante procedimiento cifrado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.</w:t>
            </w:r>
          </w:p>
          <w:p w14:paraId="3C7B270C" w14:textId="77777777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Mantener una reunión con ambas personas para explicar el objetivo de la petición.</w:t>
            </w:r>
          </w:p>
          <w:p w14:paraId="3C7B270D" w14:textId="77777777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En caso de que la entidad haya sido fiscalizada en el ejercicio anterior, actualizar los datos correspondientes con el citado departamento.</w:t>
            </w:r>
          </w:p>
          <w:p w14:paraId="3C7B270E" w14:textId="77777777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Recibido el cuestionario cumplimentado, el técnico (o en su caso el ayudante) del equipo de auditoría analizará la información contenida en el mismo, indicando en un p/t las conclusiones para comentarlas oportunamente con el auditor. </w:t>
            </w:r>
          </w:p>
          <w:p w14:paraId="3C7B270F" w14:textId="0233B56A" w:rsidR="006F0D65" w:rsidRPr="00B60888" w:rsidRDefault="006F0D65" w:rsidP="009D4DD2">
            <w:pPr>
              <w:widowControl/>
              <w:numPr>
                <w:ilvl w:val="0"/>
                <w:numId w:val="9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El auditor considerará si es necesaria o no la intervención de personal especializado para completar el análisis y/o realizar actividades adicionales </w:t>
            </w:r>
          </w:p>
          <w:bookmarkEnd w:id="1"/>
          <w:p w14:paraId="3C7B2712" w14:textId="14FC3C43" w:rsidR="006F0D65" w:rsidRPr="00B60888" w:rsidRDefault="00005744" w:rsidP="00B60888">
            <w:pPr>
              <w:spacing w:before="120" w:after="60"/>
              <w:ind w:left="595" w:hanging="595"/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5</w:t>
            </w:r>
            <w:r w:rsidR="00372650"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.</w:t>
            </w:r>
            <w:r w:rsidR="006F0D65" w:rsidRPr="00B60888">
              <w:rPr>
                <w:rFonts w:asciiTheme="minorHAnsi" w:eastAsia="Arial Unicode MS" w:hAnsiTheme="minorHAnsi" w:cstheme="minorHAnsi"/>
                <w:sz w:val="18"/>
                <w:lang w:val="es-ES_tradnl"/>
              </w:rPr>
              <w:tab/>
            </w:r>
            <w:r w:rsidRPr="00B60888">
              <w:rPr>
                <w:rFonts w:asciiTheme="minorHAnsi" w:eastAsia="Arial Unicode MS" w:hAnsiTheme="minorHAnsi" w:cstheme="minorHAnsi"/>
                <w:b/>
                <w:sz w:val="18"/>
                <w:lang w:val="es-ES_tradnl"/>
              </w:rPr>
              <w:t>Revisión de los Controles Generales de TI (CGTI) –Nivel general</w:t>
            </w:r>
          </w:p>
          <w:p w14:paraId="3C7B2714" w14:textId="4703C218" w:rsidR="006F0D65" w:rsidRPr="00B60888" w:rsidRDefault="006F0D65" w:rsidP="00005744">
            <w:pPr>
              <w:shd w:val="clear" w:color="auto" w:fill="FFFFCC"/>
              <w:jc w:val="both"/>
              <w:rPr>
                <w:rFonts w:asciiTheme="minorHAnsi" w:hAnsiTheme="minorHAnsi" w:cstheme="minorHAnsi"/>
                <w:i/>
                <w:sz w:val="18"/>
                <w:lang w:val="es-ES_tradnl"/>
              </w:rPr>
            </w:pP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Información complementaria:</w:t>
            </w:r>
            <w:r w:rsidRPr="00B60888">
              <w:rPr>
                <w:sz w:val="18"/>
                <w:lang w:val="es-ES_tradnl"/>
              </w:rPr>
              <w:t xml:space="preserve"> </w:t>
            </w:r>
            <w:r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Ver </w:t>
            </w:r>
            <w:r w:rsidR="001A162E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53</w:t>
            </w:r>
            <w:r w:rsidR="00B60888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30</w:t>
            </w:r>
            <w:r w:rsidR="00005744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 xml:space="preserve"> Anexo 3 Revisión CGTI nivel extendido</w:t>
            </w:r>
          </w:p>
          <w:p w14:paraId="3C7B2715" w14:textId="77777777" w:rsidR="006F0D65" w:rsidRPr="00B60888" w:rsidRDefault="006F0D65" w:rsidP="00765484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begin"/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instrText xml:space="preserve"> DOCPROPERTY "TM_TAB1_LABEL"  \* MERGEFORMAT </w:instrTex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fldChar w:fldCharType="separate"/>
            </w:r>
            <w:r w:rsidRPr="00B60888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>Trabajo a realizar</w:t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fldChar w:fldCharType="end"/>
            </w:r>
            <w:r w:rsidRPr="00B60888">
              <w:rPr>
                <w:rFonts w:asciiTheme="minorHAnsi" w:eastAsia="Arial Unicode MS" w:hAnsiTheme="minorHAnsi" w:cstheme="minorHAnsi"/>
                <w:b/>
                <w:i/>
                <w:sz w:val="18"/>
                <w:lang w:val="es-ES_tradnl"/>
              </w:rPr>
              <w:t>:</w:t>
            </w:r>
          </w:p>
          <w:p w14:paraId="2BA08120" w14:textId="3075D1F1" w:rsidR="00005744" w:rsidRPr="00B60888" w:rsidRDefault="006F0D65" w:rsidP="00005744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Revisar la valoración del riesgo realizada</w:t>
            </w:r>
            <w:r w:rsidR="00901CBE">
              <w:rPr>
                <w:rFonts w:asciiTheme="minorHAnsi" w:hAnsiTheme="minorHAnsi" w:cstheme="minorHAnsi"/>
                <w:sz w:val="18"/>
                <w:lang w:val="es-ES_tradnl"/>
              </w:rPr>
              <w:t xml:space="preserve"> según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GPF-OCEX-1317. </w:t>
            </w:r>
          </w:p>
          <w:p w14:paraId="311AABD5" w14:textId="0B8D63DF" w:rsidR="00005744" w:rsidRPr="00B60888" w:rsidRDefault="00005744" w:rsidP="00005744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Mediante escrito o correo electrónico, entregar el cuestionario extendido al responsable del departamento de sistemas de información de la entidad auditada, con copia al coordinador, para que lo completen con la información solicitada y lo devuelvan firmado en soporte informático</w:t>
            </w:r>
            <w:r w:rsidR="0045737D">
              <w:rPr>
                <w:rFonts w:asciiTheme="minorHAnsi" w:hAnsiTheme="minorHAnsi" w:cstheme="minorHAnsi"/>
                <w:sz w:val="18"/>
                <w:lang w:val="es-ES_tradnl"/>
              </w:rPr>
              <w:t xml:space="preserve"> mediante procedimiento cifrado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.</w:t>
            </w:r>
          </w:p>
          <w:p w14:paraId="3C7B2716" w14:textId="0169A6D0" w:rsidR="006F0D65" w:rsidRPr="00B60888" w:rsidRDefault="006F0D65" w:rsidP="00005744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Mantener una reunión con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>el auditor de sistemas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 para analizar la </w:t>
            </w:r>
            <w:r w:rsidR="00CF42FC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contestación recibida y programar el trabajo previsto en el Anexo 4 de la </w:t>
            </w:r>
            <w:r w:rsidR="00CF42FC" w:rsidRPr="00B60888">
              <w:rPr>
                <w:rFonts w:asciiTheme="minorHAnsi" w:hAnsiTheme="minorHAnsi" w:cstheme="minorHAnsi"/>
                <w:i/>
                <w:sz w:val="18"/>
                <w:lang w:val="es-ES_tradnl"/>
              </w:rPr>
              <w:t>GPF-OCEX-5351</w:t>
            </w: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. </w:t>
            </w:r>
          </w:p>
          <w:p w14:paraId="3C7B2717" w14:textId="76AB3AC7" w:rsidR="006F0D65" w:rsidRPr="00B60888" w:rsidRDefault="00CF42FC" w:rsidP="00005744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I</w:t>
            </w:r>
            <w:r w:rsidR="006F0D65" w:rsidRPr="00B60888">
              <w:rPr>
                <w:rFonts w:asciiTheme="minorHAnsi" w:hAnsiTheme="minorHAnsi" w:cstheme="minorHAnsi"/>
                <w:sz w:val="18"/>
                <w:lang w:val="es-ES_tradnl"/>
              </w:rPr>
              <w:t xml:space="preserve">dentificar los controles relevantes y diseñar pruebas de controles que van a realizarse en colaboración con </w:t>
            </w:r>
            <w:r w:rsidR="00005744" w:rsidRPr="00B60888">
              <w:rPr>
                <w:rFonts w:asciiTheme="minorHAnsi" w:hAnsiTheme="minorHAnsi" w:cstheme="minorHAnsi"/>
                <w:sz w:val="18"/>
                <w:lang w:val="es-ES_tradnl"/>
              </w:rPr>
              <w:t>el auditor de sistemas</w:t>
            </w:r>
            <w:r w:rsidR="006F0D65" w:rsidRPr="00B60888">
              <w:rPr>
                <w:rFonts w:asciiTheme="minorHAnsi" w:hAnsiTheme="minorHAnsi" w:cstheme="minorHAnsi"/>
                <w:sz w:val="18"/>
                <w:lang w:val="es-ES_tradnl"/>
              </w:rPr>
              <w:t>.</w:t>
            </w:r>
          </w:p>
          <w:p w14:paraId="3C7B2718" w14:textId="301FB944" w:rsidR="006F0D65" w:rsidRPr="00B60888" w:rsidRDefault="00CF42FC" w:rsidP="009D4DD2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R</w:t>
            </w:r>
            <w:r w:rsidR="006F0D65" w:rsidRPr="00B60888">
              <w:rPr>
                <w:rFonts w:asciiTheme="minorHAnsi" w:hAnsiTheme="minorHAnsi" w:cstheme="minorHAnsi"/>
                <w:sz w:val="18"/>
                <w:lang w:val="es-ES_tradnl"/>
              </w:rPr>
              <w:t>ealizar las pruebas de eficacia del diseño de los controles.</w:t>
            </w:r>
          </w:p>
          <w:p w14:paraId="3C7B2719" w14:textId="174EC221" w:rsidR="006F0D65" w:rsidRPr="00B60888" w:rsidRDefault="00CF42FC" w:rsidP="009D4DD2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R</w:t>
            </w:r>
            <w:r w:rsidR="006F0D65" w:rsidRPr="00B60888">
              <w:rPr>
                <w:rFonts w:asciiTheme="minorHAnsi" w:hAnsiTheme="minorHAnsi" w:cstheme="minorHAnsi"/>
                <w:sz w:val="18"/>
                <w:lang w:val="es-ES_tradnl"/>
              </w:rPr>
              <w:t>ealizar pruebas de cumplimiento de los controles.</w:t>
            </w:r>
          </w:p>
          <w:p w14:paraId="3C7B272B" w14:textId="6857B8A1" w:rsidR="006F0D65" w:rsidRPr="00B60888" w:rsidRDefault="006F0D65" w:rsidP="00B60888">
            <w:pPr>
              <w:widowControl/>
              <w:numPr>
                <w:ilvl w:val="0"/>
                <w:numId w:val="6"/>
              </w:numPr>
              <w:spacing w:before="60" w:after="60"/>
              <w:ind w:left="454"/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B60888">
              <w:rPr>
                <w:rFonts w:asciiTheme="minorHAnsi" w:hAnsiTheme="minorHAnsi" w:cstheme="minorHAnsi"/>
                <w:sz w:val="18"/>
                <w:lang w:val="es-ES_tradnl"/>
              </w:rPr>
              <w:t>Concluir sobre la eficacia operativa de los controles y la adecuación de la estrategia prevista de auditoría en cuanto a procedimientos sustantivos y alcance.</w:t>
            </w:r>
          </w:p>
        </w:tc>
      </w:tr>
    </w:tbl>
    <w:p w14:paraId="3C7B27D0" w14:textId="77777777" w:rsidR="00A77158" w:rsidRPr="00B60888" w:rsidRDefault="00A77158" w:rsidP="009A15B5">
      <w:pPr>
        <w:rPr>
          <w:rFonts w:asciiTheme="minorHAnsi" w:hAnsiTheme="minorHAnsi" w:cstheme="minorHAnsi"/>
          <w:sz w:val="14"/>
          <w:szCs w:val="16"/>
          <w:lang w:val="es-ES_tradnl"/>
        </w:rPr>
      </w:pPr>
    </w:p>
    <w:sectPr w:rsidR="00A77158" w:rsidRPr="00B60888" w:rsidSect="00B6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134" w:left="130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3F936" w16cid:durableId="1F402BC0"/>
  <w16cid:commentId w16cid:paraId="4E05D796" w16cid:durableId="1F402C22"/>
  <w16cid:commentId w16cid:paraId="28216F06" w16cid:durableId="1F402CAC"/>
  <w16cid:commentId w16cid:paraId="261ED52D" w16cid:durableId="1F402D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FC5C" w14:textId="77777777" w:rsidR="00A46A92" w:rsidRDefault="00A46A92" w:rsidP="0014715B">
      <w:r>
        <w:separator/>
      </w:r>
    </w:p>
  </w:endnote>
  <w:endnote w:type="continuationSeparator" w:id="0">
    <w:p w14:paraId="6A06F990" w14:textId="77777777" w:rsidR="00A46A92" w:rsidRDefault="00A46A92" w:rsidP="0014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F483" w14:textId="77777777" w:rsidR="001758AB" w:rsidRDefault="00175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03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C7B27D7" w14:textId="4FC59633" w:rsidR="00B6532F" w:rsidRPr="00A77158" w:rsidRDefault="00B6532F" w:rsidP="007A7EA3">
        <w:pPr>
          <w:pStyle w:val="Piedepgina"/>
          <w:jc w:val="center"/>
          <w:rPr>
            <w:rFonts w:asciiTheme="minorHAnsi" w:hAnsiTheme="minorHAnsi" w:cstheme="minorHAnsi"/>
          </w:rPr>
        </w:pPr>
        <w:r w:rsidRPr="00A77158">
          <w:rPr>
            <w:rFonts w:asciiTheme="minorHAnsi" w:hAnsiTheme="minorHAnsi" w:cstheme="minorHAnsi"/>
          </w:rPr>
          <w:fldChar w:fldCharType="begin"/>
        </w:r>
        <w:r w:rsidRPr="00A77158">
          <w:rPr>
            <w:rFonts w:asciiTheme="minorHAnsi" w:hAnsiTheme="minorHAnsi" w:cstheme="minorHAnsi"/>
          </w:rPr>
          <w:instrText>PAGE   \* MERGEFORMAT</w:instrText>
        </w:r>
        <w:r w:rsidRPr="00A77158">
          <w:rPr>
            <w:rFonts w:asciiTheme="minorHAnsi" w:hAnsiTheme="minorHAnsi" w:cstheme="minorHAnsi"/>
          </w:rPr>
          <w:fldChar w:fldCharType="separate"/>
        </w:r>
        <w:r w:rsidR="00B60888" w:rsidRPr="00B60888">
          <w:rPr>
            <w:rFonts w:asciiTheme="minorHAnsi" w:hAnsiTheme="minorHAnsi" w:cstheme="minorHAnsi"/>
            <w:noProof/>
            <w:lang w:val="es-ES"/>
          </w:rPr>
          <w:t>2</w:t>
        </w:r>
        <w:r w:rsidRPr="00A7715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F92F" w14:textId="77777777" w:rsidR="001758AB" w:rsidRDefault="00175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FE2B" w14:textId="77777777" w:rsidR="00A46A92" w:rsidRDefault="00A46A92" w:rsidP="0014715B">
      <w:r>
        <w:separator/>
      </w:r>
    </w:p>
  </w:footnote>
  <w:footnote w:type="continuationSeparator" w:id="0">
    <w:p w14:paraId="5BC5F054" w14:textId="77777777" w:rsidR="00A46A92" w:rsidRDefault="00A46A92" w:rsidP="0014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E687" w14:textId="77777777" w:rsidR="001758AB" w:rsidRDefault="001758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1214" w14:textId="77777777" w:rsidR="00372650" w:rsidRPr="00372650" w:rsidRDefault="00372650" w:rsidP="00372650">
    <w:pPr>
      <w:pStyle w:val="Encabezado"/>
      <w:pBdr>
        <w:top w:val="single" w:sz="18" w:space="1" w:color="999999"/>
        <w:bottom w:val="single" w:sz="18" w:space="1" w:color="999999"/>
      </w:pBdr>
      <w:spacing w:before="120" w:after="120"/>
      <w:jc w:val="both"/>
      <w:rPr>
        <w:rFonts w:asciiTheme="minorHAnsi" w:hAnsiTheme="minorHAnsi" w:cstheme="minorHAnsi"/>
        <w:b/>
        <w:bCs/>
        <w:color w:val="595959" w:themeColor="text1" w:themeTint="A6"/>
        <w:lang w:val="es-ES"/>
      </w:rPr>
    </w:pP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Guía práctica de fiscalización de los OCEX</w:t>
    </w:r>
  </w:p>
  <w:p w14:paraId="32F953F8" w14:textId="77777777" w:rsidR="00372650" w:rsidRPr="00372650" w:rsidRDefault="00372650" w:rsidP="00372650">
    <w:pPr>
      <w:pStyle w:val="Encabezado"/>
      <w:pBdr>
        <w:top w:val="single" w:sz="18" w:space="1" w:color="999999"/>
        <w:bottom w:val="single" w:sz="18" w:space="1" w:color="999999"/>
      </w:pBdr>
      <w:tabs>
        <w:tab w:val="clear" w:pos="4252"/>
      </w:tabs>
      <w:spacing w:before="120" w:after="120"/>
      <w:ind w:left="1418" w:hanging="1418"/>
      <w:jc w:val="both"/>
      <w:rPr>
        <w:rFonts w:asciiTheme="minorHAnsi" w:hAnsiTheme="minorHAnsi" w:cstheme="minorHAnsi"/>
        <w:b/>
        <w:bCs/>
        <w:color w:val="595959" w:themeColor="text1" w:themeTint="A6"/>
        <w:lang w:val="es-ES"/>
      </w:rPr>
    </w:pP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GPF-OCEX 5351</w:t>
    </w: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ab/>
      <w:t>Anexo 1-Programa de auditoría de la revisión de los CGTI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E6B9" w14:textId="77777777" w:rsidR="00372650" w:rsidRPr="00372650" w:rsidRDefault="00372650" w:rsidP="00372650">
    <w:pPr>
      <w:pStyle w:val="Encabezado"/>
      <w:pBdr>
        <w:top w:val="single" w:sz="18" w:space="1" w:color="999999"/>
        <w:bottom w:val="single" w:sz="18" w:space="1" w:color="999999"/>
      </w:pBdr>
      <w:spacing w:before="120" w:after="120"/>
      <w:jc w:val="both"/>
      <w:rPr>
        <w:rFonts w:asciiTheme="minorHAnsi" w:hAnsiTheme="minorHAnsi" w:cstheme="minorHAnsi"/>
        <w:b/>
        <w:bCs/>
        <w:color w:val="595959" w:themeColor="text1" w:themeTint="A6"/>
        <w:lang w:val="es-ES"/>
      </w:rPr>
    </w:pP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Guía práctica de fiscalización de los OCEX</w:t>
    </w:r>
  </w:p>
  <w:p w14:paraId="3C7B27D9" w14:textId="2FB6C419" w:rsidR="00B6532F" w:rsidRPr="00372650" w:rsidRDefault="00372650" w:rsidP="008C00BC">
    <w:pPr>
      <w:pStyle w:val="Encabezado"/>
      <w:pBdr>
        <w:top w:val="single" w:sz="18" w:space="1" w:color="999999"/>
        <w:bottom w:val="single" w:sz="18" w:space="1" w:color="999999"/>
      </w:pBdr>
      <w:tabs>
        <w:tab w:val="clear" w:pos="4252"/>
        <w:tab w:val="clear" w:pos="8504"/>
        <w:tab w:val="right" w:pos="9214"/>
      </w:tabs>
      <w:spacing w:before="120" w:after="120"/>
      <w:ind w:left="1418" w:hanging="1418"/>
      <w:jc w:val="both"/>
      <w:rPr>
        <w:rFonts w:asciiTheme="minorHAnsi" w:hAnsiTheme="minorHAnsi" w:cstheme="minorHAnsi"/>
        <w:b/>
        <w:bCs/>
        <w:color w:val="595959" w:themeColor="text1" w:themeTint="A6"/>
        <w:lang w:val="es-ES"/>
      </w:rPr>
    </w:pP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GPF-OCEX 53</w:t>
    </w:r>
    <w:r w:rsidR="00B60888">
      <w:rPr>
        <w:rFonts w:asciiTheme="minorHAnsi" w:hAnsiTheme="minorHAnsi" w:cstheme="minorHAnsi"/>
        <w:b/>
        <w:bCs/>
        <w:color w:val="595959" w:themeColor="text1" w:themeTint="A6"/>
        <w:lang w:val="es-ES"/>
      </w:rPr>
      <w:t>30</w:t>
    </w:r>
    <w:r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ab/>
    </w:r>
    <w:r w:rsidR="001A162E"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 xml:space="preserve">Anexo </w:t>
    </w:r>
    <w:r w:rsidR="00357A8B">
      <w:rPr>
        <w:rFonts w:asciiTheme="minorHAnsi" w:hAnsiTheme="minorHAnsi" w:cstheme="minorHAnsi"/>
        <w:b/>
        <w:bCs/>
        <w:color w:val="595959" w:themeColor="text1" w:themeTint="A6"/>
        <w:lang w:val="es-ES"/>
      </w:rPr>
      <w:t>2</w:t>
    </w:r>
    <w:r w:rsidR="001A162E"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-</w:t>
    </w:r>
    <w:r w:rsidR="00B6532F"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 xml:space="preserve">Programa de auditoría </w:t>
    </w:r>
    <w:r w:rsidR="00357A8B">
      <w:rPr>
        <w:rFonts w:asciiTheme="minorHAnsi" w:hAnsiTheme="minorHAnsi" w:cstheme="minorHAnsi"/>
        <w:b/>
        <w:bCs/>
        <w:color w:val="595959" w:themeColor="text1" w:themeTint="A6"/>
        <w:lang w:val="es-ES"/>
      </w:rPr>
      <w:t xml:space="preserve">financiera para </w:t>
    </w:r>
    <w:r w:rsidR="001A162E" w:rsidRPr="00372650">
      <w:rPr>
        <w:rFonts w:asciiTheme="minorHAnsi" w:hAnsiTheme="minorHAnsi" w:cstheme="minorHAnsi"/>
        <w:b/>
        <w:bCs/>
        <w:color w:val="595959" w:themeColor="text1" w:themeTint="A6"/>
        <w:lang w:val="es-ES"/>
      </w:rPr>
      <w:t>la revisión de los CGTI</w:t>
    </w:r>
    <w:r w:rsidR="008C00BC">
      <w:rPr>
        <w:rFonts w:asciiTheme="minorHAnsi" w:hAnsiTheme="minorHAnsi" w:cstheme="minorHAnsi"/>
        <w:b/>
        <w:bCs/>
        <w:color w:val="595959" w:themeColor="text1" w:themeTint="A6"/>
        <w:lang w:val="es-ES"/>
      </w:rPr>
      <w:tab/>
    </w:r>
    <w:r w:rsidR="008C00BC" w:rsidRPr="008C00BC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v_</w:t>
    </w:r>
    <w:r w:rsidR="001758AB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12</w:t>
    </w:r>
    <w:r w:rsidR="008C00BC" w:rsidRPr="008C00BC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-</w:t>
    </w:r>
    <w:r w:rsidR="00357A8B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1</w:t>
    </w:r>
    <w:r w:rsidR="001758AB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1</w:t>
    </w:r>
    <w:bookmarkStart w:id="2" w:name="_GoBack"/>
    <w:bookmarkEnd w:id="2"/>
    <w:r w:rsidR="008C00BC" w:rsidRPr="008C00BC">
      <w:rPr>
        <w:rFonts w:asciiTheme="minorHAnsi" w:hAnsiTheme="minorHAnsi" w:cstheme="minorHAnsi"/>
        <w:bCs/>
        <w:i/>
        <w:color w:val="595959" w:themeColor="text1" w:themeTint="A6"/>
        <w:sz w:val="18"/>
        <w:lang w:val="es-ES"/>
      </w:rPr>
      <w:t>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ADF"/>
    <w:multiLevelType w:val="multilevel"/>
    <w:tmpl w:val="8A4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F57B3"/>
    <w:multiLevelType w:val="multilevel"/>
    <w:tmpl w:val="6EE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84C13"/>
    <w:multiLevelType w:val="multilevel"/>
    <w:tmpl w:val="7D3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0099"/>
    <w:multiLevelType w:val="multilevel"/>
    <w:tmpl w:val="30B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566EE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FDC"/>
    <w:multiLevelType w:val="multilevel"/>
    <w:tmpl w:val="E26C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A70"/>
    <w:multiLevelType w:val="hybridMultilevel"/>
    <w:tmpl w:val="E4D20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D95"/>
    <w:multiLevelType w:val="hybridMultilevel"/>
    <w:tmpl w:val="02E42F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D3FC4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8222E"/>
    <w:multiLevelType w:val="multilevel"/>
    <w:tmpl w:val="F118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C1C9E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1807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1B721F6F"/>
    <w:multiLevelType w:val="hybridMultilevel"/>
    <w:tmpl w:val="19C61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546B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9585D"/>
    <w:multiLevelType w:val="multilevel"/>
    <w:tmpl w:val="8A4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26ED7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7F15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B6C06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2790D"/>
    <w:multiLevelType w:val="multilevel"/>
    <w:tmpl w:val="8A4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97839"/>
    <w:multiLevelType w:val="multilevel"/>
    <w:tmpl w:val="F358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F7396"/>
    <w:multiLevelType w:val="hybridMultilevel"/>
    <w:tmpl w:val="05D636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E6374"/>
    <w:multiLevelType w:val="hybridMultilevel"/>
    <w:tmpl w:val="4FDAEDDC"/>
    <w:lvl w:ilvl="0" w:tplc="3B4C5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96E01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3921"/>
    <w:multiLevelType w:val="hybridMultilevel"/>
    <w:tmpl w:val="F0406A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17AA0"/>
    <w:multiLevelType w:val="multilevel"/>
    <w:tmpl w:val="49A0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16CC1"/>
    <w:multiLevelType w:val="multilevel"/>
    <w:tmpl w:val="7D3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574B1"/>
    <w:multiLevelType w:val="hybridMultilevel"/>
    <w:tmpl w:val="CE7CE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0066A"/>
    <w:multiLevelType w:val="multilevel"/>
    <w:tmpl w:val="30B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B3922"/>
    <w:multiLevelType w:val="hybridMultilevel"/>
    <w:tmpl w:val="FADEB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37306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87C41"/>
    <w:multiLevelType w:val="multilevel"/>
    <w:tmpl w:val="7D3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C2684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C0D2F"/>
    <w:multiLevelType w:val="hybridMultilevel"/>
    <w:tmpl w:val="AB289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4D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1777"/>
    <w:multiLevelType w:val="multilevel"/>
    <w:tmpl w:val="BD28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31A09"/>
    <w:multiLevelType w:val="multilevel"/>
    <w:tmpl w:val="E56E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B24F4"/>
    <w:multiLevelType w:val="multilevel"/>
    <w:tmpl w:val="B52C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44312"/>
    <w:multiLevelType w:val="multilevel"/>
    <w:tmpl w:val="7D3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22C55"/>
    <w:multiLevelType w:val="multilevel"/>
    <w:tmpl w:val="7D3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14"/>
  </w:num>
  <w:num w:numId="5">
    <w:abstractNumId w:val="16"/>
  </w:num>
  <w:num w:numId="6">
    <w:abstractNumId w:val="25"/>
  </w:num>
  <w:num w:numId="7">
    <w:abstractNumId w:val="30"/>
  </w:num>
  <w:num w:numId="8">
    <w:abstractNumId w:val="8"/>
  </w:num>
  <w:num w:numId="9">
    <w:abstractNumId w:val="12"/>
  </w:num>
  <w:num w:numId="10">
    <w:abstractNumId w:val="21"/>
  </w:num>
  <w:num w:numId="11">
    <w:abstractNumId w:val="31"/>
  </w:num>
  <w:num w:numId="12">
    <w:abstractNumId w:val="15"/>
  </w:num>
  <w:num w:numId="13">
    <w:abstractNumId w:val="34"/>
  </w:num>
  <w:num w:numId="14">
    <w:abstractNumId w:val="32"/>
  </w:num>
  <w:num w:numId="15">
    <w:abstractNumId w:val="35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  <w:num w:numId="20">
    <w:abstractNumId w:val="23"/>
  </w:num>
  <w:num w:numId="21">
    <w:abstractNumId w:val="33"/>
  </w:num>
  <w:num w:numId="22">
    <w:abstractNumId w:val="5"/>
  </w:num>
  <w:num w:numId="23">
    <w:abstractNumId w:val="1"/>
  </w:num>
  <w:num w:numId="24">
    <w:abstractNumId w:val="26"/>
  </w:num>
  <w:num w:numId="25">
    <w:abstractNumId w:val="13"/>
  </w:num>
  <w:num w:numId="26">
    <w:abstractNumId w:val="36"/>
  </w:num>
  <w:num w:numId="27">
    <w:abstractNumId w:val="2"/>
  </w:num>
  <w:num w:numId="28">
    <w:abstractNumId w:val="29"/>
  </w:num>
  <w:num w:numId="29">
    <w:abstractNumId w:val="24"/>
  </w:num>
  <w:num w:numId="30">
    <w:abstractNumId w:val="0"/>
  </w:num>
  <w:num w:numId="31">
    <w:abstractNumId w:val="19"/>
  </w:num>
  <w:num w:numId="32">
    <w:abstractNumId w:val="7"/>
  </w:num>
  <w:num w:numId="33">
    <w:abstractNumId w:val="22"/>
  </w:num>
  <w:num w:numId="34">
    <w:abstractNumId w:val="6"/>
  </w:num>
  <w:num w:numId="35">
    <w:abstractNumId w:val="20"/>
  </w:num>
  <w:num w:numId="36">
    <w:abstractNumId w:val="11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9"/>
    <w:rsid w:val="00005744"/>
    <w:rsid w:val="00007423"/>
    <w:rsid w:val="00010CD6"/>
    <w:rsid w:val="0001644D"/>
    <w:rsid w:val="000178CE"/>
    <w:rsid w:val="00023A74"/>
    <w:rsid w:val="00024415"/>
    <w:rsid w:val="00030BF7"/>
    <w:rsid w:val="000314AC"/>
    <w:rsid w:val="000535F5"/>
    <w:rsid w:val="000A40B5"/>
    <w:rsid w:val="000B7AA7"/>
    <w:rsid w:val="000D38C0"/>
    <w:rsid w:val="000D69D9"/>
    <w:rsid w:val="000E0AFC"/>
    <w:rsid w:val="000F1E0E"/>
    <w:rsid w:val="00104999"/>
    <w:rsid w:val="00125E4E"/>
    <w:rsid w:val="001449CB"/>
    <w:rsid w:val="0014715B"/>
    <w:rsid w:val="00163564"/>
    <w:rsid w:val="00172F6E"/>
    <w:rsid w:val="001758AB"/>
    <w:rsid w:val="001763F8"/>
    <w:rsid w:val="001812AD"/>
    <w:rsid w:val="00182457"/>
    <w:rsid w:val="00184B90"/>
    <w:rsid w:val="001851F3"/>
    <w:rsid w:val="00193F67"/>
    <w:rsid w:val="001A162E"/>
    <w:rsid w:val="001D7D2A"/>
    <w:rsid w:val="002146AF"/>
    <w:rsid w:val="00227D11"/>
    <w:rsid w:val="00281ECE"/>
    <w:rsid w:val="00290D17"/>
    <w:rsid w:val="00293770"/>
    <w:rsid w:val="00293CDB"/>
    <w:rsid w:val="002B16A1"/>
    <w:rsid w:val="002C7605"/>
    <w:rsid w:val="002E1909"/>
    <w:rsid w:val="002E44D4"/>
    <w:rsid w:val="00330BA4"/>
    <w:rsid w:val="00335A1D"/>
    <w:rsid w:val="00357A8B"/>
    <w:rsid w:val="00360B0F"/>
    <w:rsid w:val="00372650"/>
    <w:rsid w:val="00383138"/>
    <w:rsid w:val="00385240"/>
    <w:rsid w:val="00396A8E"/>
    <w:rsid w:val="003A3686"/>
    <w:rsid w:val="003A3D75"/>
    <w:rsid w:val="003A4945"/>
    <w:rsid w:val="003B317B"/>
    <w:rsid w:val="003B78BF"/>
    <w:rsid w:val="003C65AD"/>
    <w:rsid w:val="003D37B2"/>
    <w:rsid w:val="003E71AB"/>
    <w:rsid w:val="00415555"/>
    <w:rsid w:val="004167C8"/>
    <w:rsid w:val="00417FC5"/>
    <w:rsid w:val="0042145C"/>
    <w:rsid w:val="00423E7D"/>
    <w:rsid w:val="0045737D"/>
    <w:rsid w:val="00460F03"/>
    <w:rsid w:val="00495600"/>
    <w:rsid w:val="004C0838"/>
    <w:rsid w:val="004C1D6E"/>
    <w:rsid w:val="00502DAE"/>
    <w:rsid w:val="0053035B"/>
    <w:rsid w:val="00586375"/>
    <w:rsid w:val="005A6514"/>
    <w:rsid w:val="005C6DE5"/>
    <w:rsid w:val="005D480B"/>
    <w:rsid w:val="005E099E"/>
    <w:rsid w:val="006043F5"/>
    <w:rsid w:val="0063708A"/>
    <w:rsid w:val="00670EB5"/>
    <w:rsid w:val="00695A11"/>
    <w:rsid w:val="006B4AB0"/>
    <w:rsid w:val="006E5BD8"/>
    <w:rsid w:val="006F0D65"/>
    <w:rsid w:val="006F1002"/>
    <w:rsid w:val="007073CA"/>
    <w:rsid w:val="007314BA"/>
    <w:rsid w:val="00750210"/>
    <w:rsid w:val="00765484"/>
    <w:rsid w:val="007A7EA3"/>
    <w:rsid w:val="007F4F35"/>
    <w:rsid w:val="00847358"/>
    <w:rsid w:val="00852D09"/>
    <w:rsid w:val="00885F2F"/>
    <w:rsid w:val="00895309"/>
    <w:rsid w:val="008A0D30"/>
    <w:rsid w:val="008A5B54"/>
    <w:rsid w:val="008C00BC"/>
    <w:rsid w:val="008C34EA"/>
    <w:rsid w:val="008F3F97"/>
    <w:rsid w:val="00901CBE"/>
    <w:rsid w:val="009157CF"/>
    <w:rsid w:val="009A15B5"/>
    <w:rsid w:val="009D24A4"/>
    <w:rsid w:val="009D4DD2"/>
    <w:rsid w:val="009D51C6"/>
    <w:rsid w:val="009F5F39"/>
    <w:rsid w:val="00A2571F"/>
    <w:rsid w:val="00A304DC"/>
    <w:rsid w:val="00A32A63"/>
    <w:rsid w:val="00A46A92"/>
    <w:rsid w:val="00A47244"/>
    <w:rsid w:val="00A47273"/>
    <w:rsid w:val="00A511BC"/>
    <w:rsid w:val="00A54FE7"/>
    <w:rsid w:val="00A60782"/>
    <w:rsid w:val="00A77158"/>
    <w:rsid w:val="00A8348C"/>
    <w:rsid w:val="00A83DA6"/>
    <w:rsid w:val="00A92759"/>
    <w:rsid w:val="00AA5C29"/>
    <w:rsid w:val="00AB50D5"/>
    <w:rsid w:val="00AC2C34"/>
    <w:rsid w:val="00AC5812"/>
    <w:rsid w:val="00AD1AF9"/>
    <w:rsid w:val="00B01FA6"/>
    <w:rsid w:val="00B11040"/>
    <w:rsid w:val="00B12746"/>
    <w:rsid w:val="00B2308C"/>
    <w:rsid w:val="00B60888"/>
    <w:rsid w:val="00B64D91"/>
    <w:rsid w:val="00B6532F"/>
    <w:rsid w:val="00B67659"/>
    <w:rsid w:val="00B87173"/>
    <w:rsid w:val="00BB07F7"/>
    <w:rsid w:val="00BB448A"/>
    <w:rsid w:val="00BC26F3"/>
    <w:rsid w:val="00BD222D"/>
    <w:rsid w:val="00BE4C04"/>
    <w:rsid w:val="00BF40F0"/>
    <w:rsid w:val="00C46AED"/>
    <w:rsid w:val="00C84FA9"/>
    <w:rsid w:val="00CA17D2"/>
    <w:rsid w:val="00CA4A73"/>
    <w:rsid w:val="00CB6E6B"/>
    <w:rsid w:val="00CC2669"/>
    <w:rsid w:val="00CD0EC9"/>
    <w:rsid w:val="00CF42FC"/>
    <w:rsid w:val="00D17EA7"/>
    <w:rsid w:val="00D637C9"/>
    <w:rsid w:val="00D94604"/>
    <w:rsid w:val="00DB2A31"/>
    <w:rsid w:val="00DC11E7"/>
    <w:rsid w:val="00DC2E1C"/>
    <w:rsid w:val="00DE083B"/>
    <w:rsid w:val="00E05A66"/>
    <w:rsid w:val="00E12AA5"/>
    <w:rsid w:val="00E176F9"/>
    <w:rsid w:val="00E3607B"/>
    <w:rsid w:val="00E43398"/>
    <w:rsid w:val="00E44A44"/>
    <w:rsid w:val="00EA461B"/>
    <w:rsid w:val="00EB1980"/>
    <w:rsid w:val="00EB2498"/>
    <w:rsid w:val="00EC25CF"/>
    <w:rsid w:val="00EC5DF0"/>
    <w:rsid w:val="00ED05CA"/>
    <w:rsid w:val="00F020C2"/>
    <w:rsid w:val="00F24A45"/>
    <w:rsid w:val="00F27417"/>
    <w:rsid w:val="00F27D2E"/>
    <w:rsid w:val="00F50A08"/>
    <w:rsid w:val="00F534AA"/>
    <w:rsid w:val="00F901B9"/>
    <w:rsid w:val="00F90EE0"/>
    <w:rsid w:val="00FB0261"/>
    <w:rsid w:val="00FE04E6"/>
    <w:rsid w:val="00FE3D02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B26D7"/>
  <w15:docId w15:val="{016B6DE8-93F8-415F-B456-8E6C0C2A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B9"/>
    <w:pPr>
      <w:widowControl w:val="0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D09"/>
  </w:style>
  <w:style w:type="paragraph" w:customStyle="1" w:styleId="section1">
    <w:name w:val="section1"/>
    <w:basedOn w:val="Normal"/>
    <w:uiPriority w:val="99"/>
    <w:rsid w:val="00852D09"/>
    <w:pPr>
      <w:widowControl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471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715B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471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15B"/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14715B"/>
    <w:pPr>
      <w:ind w:left="720"/>
      <w:contextualSpacing/>
    </w:pPr>
  </w:style>
  <w:style w:type="character" w:customStyle="1" w:styleId="U">
    <w:name w:val="U"/>
    <w:basedOn w:val="Fuentedeprrafopredeter"/>
    <w:uiPriority w:val="99"/>
    <w:rsid w:val="00ED05CA"/>
    <w:rPr>
      <w:u w:val="single"/>
    </w:rPr>
  </w:style>
  <w:style w:type="paragraph" w:customStyle="1" w:styleId="P">
    <w:name w:val="P"/>
    <w:basedOn w:val="Normal"/>
    <w:uiPriority w:val="99"/>
    <w:rsid w:val="00ED05CA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ED05CA"/>
    <w:rPr>
      <w:b/>
      <w:bCs/>
    </w:rPr>
  </w:style>
  <w:style w:type="paragraph" w:styleId="Textodeglobo">
    <w:name w:val="Balloon Text"/>
    <w:basedOn w:val="Normal"/>
    <w:link w:val="TextodegloboCar"/>
    <w:rsid w:val="000F1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1E0E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A927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2759"/>
  </w:style>
  <w:style w:type="character" w:customStyle="1" w:styleId="TextocomentarioCar">
    <w:name w:val="Texto comentario Car"/>
    <w:basedOn w:val="Fuentedeprrafopredeter"/>
    <w:link w:val="Textocomentario"/>
    <w:rsid w:val="00A9275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27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2759"/>
    <w:rPr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rsid w:val="008F3F97"/>
    <w:pPr>
      <w:widowControl/>
      <w:spacing w:before="240"/>
      <w:jc w:val="both"/>
    </w:pPr>
    <w:rPr>
      <w:rFonts w:ascii="Arial" w:hAnsi="Arial" w:cs="Arial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F97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DBFB-DA47-44B4-BB68-CC403FA9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MGimeno</dc:creator>
  <cp:lastModifiedBy>Antonio Minguillon Roy</cp:lastModifiedBy>
  <cp:revision>12</cp:revision>
  <cp:lastPrinted>2018-03-26T09:36:00Z</cp:lastPrinted>
  <dcterms:created xsi:type="dcterms:W3CDTF">2017-08-22T17:19:00Z</dcterms:created>
  <dcterms:modified xsi:type="dcterms:W3CDTF">2018-11-12T11:27:00Z</dcterms:modified>
</cp:coreProperties>
</file>